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4FC" w:rsidRPr="00121C7E" w:rsidRDefault="00763BA3" w:rsidP="008A54FC">
      <w:pPr>
        <w:rPr>
          <w:b/>
          <w:color w:val="FFFFFF"/>
          <w:szCs w:val="20"/>
          <w:lang w:val="en-GB"/>
        </w:rPr>
      </w:pPr>
      <w:r w:rsidRPr="00121C7E">
        <w:rPr>
          <w:b/>
          <w:color w:val="FFFFFF"/>
          <w:szCs w:val="20"/>
          <w:lang w:val="en-GB"/>
        </w:rPr>
        <w:t xml:space="preserve"> OF CONTENTS</w:t>
      </w:r>
    </w:p>
    <w:p w:rsidR="00067793" w:rsidRPr="00121C7E" w:rsidRDefault="00067793" w:rsidP="008A54FC">
      <w:pPr>
        <w:rPr>
          <w:b/>
          <w:color w:val="FFFFFF"/>
          <w:szCs w:val="20"/>
          <w:lang w:val="en-GB"/>
        </w:rPr>
      </w:pPr>
    </w:p>
    <w:p w:rsidR="00B25463" w:rsidRPr="00121C7E" w:rsidRDefault="00B25463" w:rsidP="0029448B">
      <w:pPr>
        <w:rPr>
          <w:b/>
          <w:color w:val="C00000"/>
          <w:lang w:val="en-GB"/>
        </w:rPr>
      </w:pPr>
      <w:r w:rsidRPr="00121C7E">
        <w:rPr>
          <w:b/>
          <w:color w:val="C00000"/>
          <w:lang w:val="en-GB"/>
        </w:rPr>
        <w:t xml:space="preserve">DRAFT CEPT BRIEF ON AGENDA ITEM </w:t>
      </w:r>
      <w:r w:rsidR="005E6279">
        <w:rPr>
          <w:b/>
          <w:color w:val="C00000"/>
          <w:lang w:val="en-GB"/>
        </w:rPr>
        <w:t xml:space="preserve">1.15 </w:t>
      </w:r>
      <w:r w:rsidRPr="00121C7E">
        <w:rPr>
          <w:b/>
          <w:color w:val="C00000"/>
          <w:lang w:val="en-GB"/>
        </w:rPr>
        <w:t xml:space="preserve"> </w:t>
      </w:r>
    </w:p>
    <w:p w:rsidR="0029448B" w:rsidRPr="00121C7E" w:rsidRDefault="0029448B" w:rsidP="0029448B">
      <w:pPr>
        <w:rPr>
          <w:lang w:val="en-GB"/>
        </w:rPr>
      </w:pPr>
    </w:p>
    <w:p w:rsidR="0029448B" w:rsidRPr="00121C7E" w:rsidRDefault="005E6279" w:rsidP="0029448B">
      <w:pPr>
        <w:pStyle w:val="ECCParagraph"/>
      </w:pPr>
      <w:r>
        <w:t xml:space="preserve">AI 1.15 </w:t>
      </w:r>
      <w:r>
        <w:tab/>
      </w:r>
      <w:r w:rsidRPr="005E6279">
        <w:t xml:space="preserve">to consider spectrum demands for on-board communication stations in the maritime mobile service in accordance with Resolution 358 (WRC-12) </w:t>
      </w:r>
    </w:p>
    <w:p w:rsidR="00B25463" w:rsidRPr="00121C7E" w:rsidRDefault="0029448B" w:rsidP="0029448B">
      <w:pPr>
        <w:pStyle w:val="Heading1"/>
      </w:pPr>
      <w:r w:rsidRPr="00121C7E">
        <w:t>ISSUE</w:t>
      </w:r>
    </w:p>
    <w:p w:rsidR="005E6279" w:rsidRDefault="005E6279" w:rsidP="005E6279">
      <w:pPr>
        <w:pStyle w:val="ECCParagraph"/>
      </w:pPr>
      <w:r>
        <w:t>Resolves part of Resolution 358 (WRC-12) invites WRC-15 to consider, based on the results of ITU-R studies, the need to possibly identify additional UHF channels within the bands already allocated to the maritime mobile service for on-board communication stations.</w:t>
      </w:r>
    </w:p>
    <w:p w:rsidR="00005CA4" w:rsidRPr="005E6279" w:rsidRDefault="005E6279" w:rsidP="005E6279">
      <w:pPr>
        <w:pStyle w:val="ECCParagraph"/>
        <w:rPr>
          <w:lang w:val="en-US"/>
        </w:rPr>
      </w:pPr>
      <w:r>
        <w:t>Invites part of Resolution 358 (WRC-12), invites ITU-R to conduct, in time for WRC-15, studies to determine the spectrum requirements and potential frequency bands for on-board communication stations, taking into account the protection of services to which the frequency band is currently allocated.</w:t>
      </w:r>
    </w:p>
    <w:p w:rsidR="00005CA4" w:rsidRPr="00121C7E" w:rsidRDefault="00005CA4" w:rsidP="00005CA4">
      <w:pPr>
        <w:pStyle w:val="Heading1"/>
      </w:pPr>
      <w:r w:rsidRPr="00121C7E">
        <w:t xml:space="preserve">Preliminary CEPT position </w:t>
      </w:r>
    </w:p>
    <w:p w:rsidR="00005CA4" w:rsidRPr="00121C7E" w:rsidRDefault="005E6279" w:rsidP="00005CA4">
      <w:pPr>
        <w:pStyle w:val="ECCParagraph"/>
      </w:pPr>
      <w:r>
        <w:t xml:space="preserve">TBD </w:t>
      </w:r>
    </w:p>
    <w:p w:rsidR="009744B4" w:rsidRPr="00121C7E" w:rsidRDefault="009744B4" w:rsidP="009744B4">
      <w:pPr>
        <w:pStyle w:val="Heading1"/>
      </w:pPr>
      <w:r w:rsidRPr="00121C7E">
        <w:t xml:space="preserve">Background </w:t>
      </w:r>
    </w:p>
    <w:p w:rsidR="002A1BA5" w:rsidRDefault="002A1BA5" w:rsidP="002A1BA5">
      <w:pPr>
        <w:pStyle w:val="ECCParagraph"/>
      </w:pPr>
      <w:r>
        <w:rPr>
          <w:lang w:eastAsia="de-DE"/>
        </w:rPr>
        <w:t>O</w:t>
      </w:r>
      <w:r w:rsidRPr="00F33901">
        <w:rPr>
          <w:lang w:eastAsia="de-DE"/>
        </w:rPr>
        <w:t>nly six frequencies, in the bands between 450 and 470</w:t>
      </w:r>
      <w:r>
        <w:rPr>
          <w:lang w:eastAsia="de-DE"/>
        </w:rPr>
        <w:t> MHz</w:t>
      </w:r>
      <w:r w:rsidRPr="00F33901">
        <w:rPr>
          <w:lang w:eastAsia="de-DE"/>
        </w:rPr>
        <w:t>, are currently identified in No. </w:t>
      </w:r>
      <w:r w:rsidRPr="00F33901">
        <w:rPr>
          <w:b/>
          <w:lang w:eastAsia="de-DE"/>
        </w:rPr>
        <w:t xml:space="preserve">5.287 </w:t>
      </w:r>
      <w:r w:rsidRPr="00F33901">
        <w:rPr>
          <w:lang w:eastAsia="de-DE"/>
        </w:rPr>
        <w:t>for on-board communication stations</w:t>
      </w:r>
    </w:p>
    <w:p w:rsidR="002A1BA5" w:rsidRDefault="002A1BA5" w:rsidP="002A1BA5">
      <w:pPr>
        <w:pStyle w:val="ECCParagraph"/>
      </w:pPr>
      <w:r>
        <w:t>5.287 In the maritime mobile service, the frequencies 457.525 MHz, 457.550 MHz, 457.575 MHz, 467.525 MHz, 467.550 MHz and 467.575 MHz may be used by on-board communication stations. Where needed, equipment designed for 12.5 kHz channel spacing using also the additional frequencies 457.5375 MHz, 457.5625 MHz, 467.5375 MHz and 467.5625 MHz may be introduced for on-board communications. The use of these frequencies in territorial waters may be subject to the national regulations of the administration concerned. The characteristics of the equipment used shall conform to those specified in Recommendation ITU-R M.1174-2. (WRC-07)</w:t>
      </w:r>
    </w:p>
    <w:p w:rsidR="009744B4" w:rsidRPr="00121C7E" w:rsidRDefault="009744B4" w:rsidP="009744B4">
      <w:pPr>
        <w:pStyle w:val="Heading1"/>
      </w:pPr>
      <w:r w:rsidRPr="00121C7E">
        <w:t>List of relevant documents</w:t>
      </w:r>
    </w:p>
    <w:p w:rsidR="00B107D7" w:rsidRPr="00121C7E" w:rsidRDefault="00B107D7" w:rsidP="00B107D7">
      <w:pPr>
        <w:pStyle w:val="ECCParagraph"/>
      </w:pPr>
      <w:r w:rsidRPr="00121C7E">
        <w:t>ITU-Documentation (Recommendations, Reports, other)</w:t>
      </w:r>
      <w:r>
        <w:t>:</w:t>
      </w:r>
    </w:p>
    <w:p w:rsidR="006C444E" w:rsidRPr="00832922" w:rsidRDefault="006C444E" w:rsidP="006C444E">
      <w:pPr>
        <w:pStyle w:val="ECCParagraph"/>
        <w:spacing w:before="120" w:after="120"/>
        <w:rPr>
          <w:lang w:val="en-US"/>
        </w:rPr>
      </w:pPr>
      <w:r>
        <w:rPr>
          <w:lang w:val="en-US"/>
        </w:rPr>
        <w:t xml:space="preserve">Annex 03 to Document 5B/167 </w:t>
      </w:r>
      <w:r w:rsidRPr="00832922">
        <w:rPr>
          <w:lang w:val="en-US"/>
        </w:rPr>
        <w:tab/>
      </w:r>
      <w:r>
        <w:rPr>
          <w:lang w:val="en-US"/>
        </w:rPr>
        <w:t>working document towards CPM Report on Agenda item 1.15</w:t>
      </w:r>
      <w:r w:rsidRPr="00832922">
        <w:rPr>
          <w:lang w:val="en-US"/>
        </w:rPr>
        <w:t xml:space="preserve"> </w:t>
      </w:r>
    </w:p>
    <w:p w:rsidR="006C444E" w:rsidRDefault="006C444E" w:rsidP="006C444E">
      <w:pPr>
        <w:pStyle w:val="ECCParagraph"/>
        <w:spacing w:before="120" w:after="120"/>
        <w:rPr>
          <w:lang w:val="en-US"/>
        </w:rPr>
      </w:pPr>
      <w:r w:rsidRPr="002C4FA9">
        <w:rPr>
          <w:lang w:val="en-US"/>
        </w:rPr>
        <w:t>Annex 04 to Doc</w:t>
      </w:r>
      <w:r>
        <w:rPr>
          <w:lang w:val="en-US"/>
        </w:rPr>
        <w:t xml:space="preserve">ument </w:t>
      </w:r>
      <w:r w:rsidRPr="002C4FA9">
        <w:rPr>
          <w:lang w:val="en-US"/>
        </w:rPr>
        <w:t>5B/167 (</w:t>
      </w:r>
      <w:r>
        <w:rPr>
          <w:lang w:val="en-US"/>
        </w:rPr>
        <w:t>16 November, 2012) – Draft Work plan- Agenda item 1.15</w:t>
      </w:r>
    </w:p>
    <w:p w:rsidR="00B107D7" w:rsidRDefault="00B107D7" w:rsidP="00B107D7">
      <w:pPr>
        <w:pStyle w:val="ECCParagraph"/>
      </w:pPr>
    </w:p>
    <w:p w:rsidR="00B107D7" w:rsidRPr="00121C7E" w:rsidRDefault="00B107D7" w:rsidP="00B107D7">
      <w:pPr>
        <w:pStyle w:val="ECCParagraph"/>
      </w:pPr>
      <w:r w:rsidRPr="00121C7E">
        <w:t>CEPT and/or ECC Documentation (Decisions, Recommendations, Reports)</w:t>
      </w:r>
      <w:r>
        <w:t>:</w:t>
      </w:r>
    </w:p>
    <w:p w:rsidR="00B107D7" w:rsidRPr="00121C7E" w:rsidRDefault="00B107D7" w:rsidP="00B107D7">
      <w:pPr>
        <w:pStyle w:val="ECCParagraph"/>
      </w:pPr>
      <w:r w:rsidRPr="00121C7E">
        <w:t>EU Documentation (Directives, Decisions, Recommendations, other), if applicable</w:t>
      </w:r>
      <w:r>
        <w:t>:</w:t>
      </w:r>
    </w:p>
    <w:p w:rsidR="009744B4" w:rsidRPr="00121C7E" w:rsidRDefault="009744B4" w:rsidP="009744B4">
      <w:pPr>
        <w:pStyle w:val="Heading1"/>
      </w:pPr>
      <w:r w:rsidRPr="00121C7E">
        <w:t>Actions to be taken</w:t>
      </w:r>
    </w:p>
    <w:p w:rsidR="006C444E" w:rsidRDefault="006C444E" w:rsidP="00AB436E">
      <w:pPr>
        <w:pStyle w:val="ECCNumberedBullets"/>
        <w:spacing w:after="120"/>
      </w:pPr>
      <w:r>
        <w:t>Identification and justification of the requirements for additional spectrum for in-board communications:</w:t>
      </w:r>
    </w:p>
    <w:p w:rsidR="00AB436E" w:rsidRDefault="00AB436E" w:rsidP="00AB436E">
      <w:pPr>
        <w:pStyle w:val="ECCParagraph"/>
        <w:spacing w:after="120"/>
        <w:rPr>
          <w:rFonts w:cs="Arial"/>
        </w:rPr>
      </w:pPr>
      <w:r>
        <w:t>The following questions need to be answered by the Administrations prior to the next PT C meeting</w:t>
      </w:r>
      <w:r>
        <w:rPr>
          <w:rFonts w:cs="Arial"/>
        </w:rPr>
        <w:t>:</w:t>
      </w:r>
    </w:p>
    <w:p w:rsidR="007F1C2D" w:rsidRDefault="007F1C2D" w:rsidP="007F1C2D">
      <w:pPr>
        <w:pStyle w:val="ECCNumbered-LetteredList"/>
        <w:numPr>
          <w:ilvl w:val="1"/>
          <w:numId w:val="11"/>
        </w:numPr>
        <w:tabs>
          <w:tab w:val="num" w:pos="1021"/>
        </w:tabs>
        <w:spacing w:before="60"/>
      </w:pPr>
      <w:r>
        <w:rPr>
          <w:lang w:val="en-GB"/>
        </w:rPr>
        <w:lastRenderedPageBreak/>
        <w:t>w</w:t>
      </w:r>
      <w:proofErr w:type="spellStart"/>
      <w:r w:rsidRPr="007F1C2D">
        <w:t>hether</w:t>
      </w:r>
      <w:proofErr w:type="spellEnd"/>
      <w:r w:rsidRPr="007F1C2D">
        <w:t xml:space="preserve"> the number of existing frequencies for on board communications</w:t>
      </w:r>
      <w:r>
        <w:t xml:space="preserve"> is sufficient; </w:t>
      </w:r>
    </w:p>
    <w:p w:rsidR="007F1C2D" w:rsidRDefault="007F1C2D" w:rsidP="007F1C2D">
      <w:pPr>
        <w:pStyle w:val="ECCNumbered-LetteredList"/>
        <w:numPr>
          <w:ilvl w:val="1"/>
          <w:numId w:val="11"/>
        </w:numPr>
        <w:tabs>
          <w:tab w:val="num" w:pos="1021"/>
        </w:tabs>
        <w:spacing w:before="60"/>
      </w:pPr>
      <w:r w:rsidRPr="007F1C2D">
        <w:t>whether the frequencies in use for on board frequencies are sufficiently protected via the Radio Regulations</w:t>
      </w:r>
      <w:r>
        <w:t xml:space="preserve"> and </w:t>
      </w:r>
    </w:p>
    <w:p w:rsidR="007F1C2D" w:rsidRDefault="007F1C2D" w:rsidP="007F1C2D">
      <w:pPr>
        <w:pStyle w:val="ECCNumbered-LetteredList"/>
        <w:numPr>
          <w:ilvl w:val="1"/>
          <w:numId w:val="11"/>
        </w:numPr>
        <w:tabs>
          <w:tab w:val="num" w:pos="1021"/>
        </w:tabs>
        <w:spacing w:before="60"/>
      </w:pPr>
      <w:r w:rsidRPr="007F1C2D">
        <w:t>whether existing</w:t>
      </w:r>
      <w:r>
        <w:t xml:space="preserve"> </w:t>
      </w:r>
      <w:r w:rsidRPr="007F1C2D">
        <w:t>frequencies allocated for on board frequencies are severely congested in European</w:t>
      </w:r>
    </w:p>
    <w:p w:rsidR="009744B4" w:rsidRDefault="007F1C2D" w:rsidP="007F1C2D">
      <w:pPr>
        <w:pStyle w:val="ECCParBulleted"/>
        <w:numPr>
          <w:ilvl w:val="0"/>
          <w:numId w:val="0"/>
        </w:numPr>
        <w:ind w:left="340"/>
      </w:pPr>
      <w:r w:rsidRPr="007F1C2D">
        <w:t xml:space="preserve">ports and what a possible solution might be.  </w:t>
      </w:r>
    </w:p>
    <w:p w:rsidR="00A5175F" w:rsidRPr="007F1C2D" w:rsidRDefault="00A5175F" w:rsidP="007F1C2D">
      <w:pPr>
        <w:pStyle w:val="ECCParBulleted"/>
        <w:numPr>
          <w:ilvl w:val="0"/>
          <w:numId w:val="0"/>
        </w:numPr>
        <w:ind w:left="340"/>
      </w:pPr>
    </w:p>
    <w:p w:rsidR="007D2C2E" w:rsidRDefault="007D2C2E" w:rsidP="007D2C2E">
      <w:pPr>
        <w:pStyle w:val="ECCNumberedBullets"/>
      </w:pPr>
      <w:r>
        <w:t xml:space="preserve">In case of justified needs requirements </w:t>
      </w:r>
      <w:r w:rsidRPr="007D2C2E">
        <w:t>the identification of the possible (candidate) frequency bands (frequencies) for on-board communications</w:t>
      </w:r>
    </w:p>
    <w:p w:rsidR="00A21D35" w:rsidRDefault="00A21D35" w:rsidP="00A21D35">
      <w:pPr>
        <w:pStyle w:val="ECCNumberedBullets"/>
        <w:numPr>
          <w:ilvl w:val="0"/>
          <w:numId w:val="0"/>
        </w:numPr>
        <w:ind w:left="340" w:hanging="340"/>
      </w:pPr>
    </w:p>
    <w:p w:rsidR="00FA4175" w:rsidRDefault="00FA4175" w:rsidP="00FA4175">
      <w:pPr>
        <w:pStyle w:val="ECCNumbered-LetteredList"/>
        <w:numPr>
          <w:ilvl w:val="1"/>
          <w:numId w:val="21"/>
        </w:numPr>
        <w:tabs>
          <w:tab w:val="num" w:pos="1021"/>
        </w:tabs>
        <w:spacing w:before="60"/>
      </w:pPr>
      <w:r>
        <w:t xml:space="preserve">Compatibility studies to determine the technical and regulatory measures to guarantee the protection from interference; </w:t>
      </w:r>
    </w:p>
    <w:p w:rsidR="00A21D35" w:rsidRPr="007D2C2E" w:rsidRDefault="00A21D35" w:rsidP="00A21D35">
      <w:pPr>
        <w:pStyle w:val="ECCNumberedBullets"/>
        <w:numPr>
          <w:ilvl w:val="0"/>
          <w:numId w:val="0"/>
        </w:numPr>
        <w:ind w:left="340" w:hanging="340"/>
      </w:pPr>
    </w:p>
    <w:p w:rsidR="00FA4175" w:rsidRDefault="00FA4175" w:rsidP="00FA4175">
      <w:pPr>
        <w:pStyle w:val="ECCParBulleted"/>
        <w:numPr>
          <w:ilvl w:val="0"/>
          <w:numId w:val="0"/>
        </w:numPr>
        <w:spacing w:after="120"/>
        <w:ind w:left="426" w:hanging="426"/>
      </w:pPr>
      <w:r>
        <w:t xml:space="preserve">       i.</w:t>
      </w:r>
      <w:r>
        <w:tab/>
        <w:t>to the services which are allocated in the specific (candidate) frequency bands from maritime mobile stations;</w:t>
      </w:r>
    </w:p>
    <w:p w:rsidR="00FA4175" w:rsidRDefault="00FA4175" w:rsidP="00FA4175">
      <w:pPr>
        <w:pStyle w:val="ECCParBulleted"/>
        <w:numPr>
          <w:ilvl w:val="0"/>
          <w:numId w:val="0"/>
        </w:numPr>
        <w:ind w:left="360"/>
        <w:rPr>
          <w:highlight w:val="yellow"/>
        </w:rPr>
      </w:pPr>
      <w:r>
        <w:t>ii.</w:t>
      </w:r>
      <w:r>
        <w:tab/>
        <w:t>maritime mobile service in the candidate bands (on-board communications) from the existing services.</w:t>
      </w:r>
    </w:p>
    <w:p w:rsidR="00863669" w:rsidRPr="00FA4175" w:rsidRDefault="00863669" w:rsidP="00863669">
      <w:pPr>
        <w:pStyle w:val="ECCNumbered-LetteredList"/>
        <w:numPr>
          <w:ilvl w:val="0"/>
          <w:numId w:val="0"/>
        </w:numPr>
        <w:ind w:left="340" w:hanging="340"/>
        <w:rPr>
          <w:lang w:val="en-GB"/>
        </w:rPr>
      </w:pPr>
    </w:p>
    <w:p w:rsidR="009744B4" w:rsidRPr="00121C7E" w:rsidRDefault="009744B4" w:rsidP="009744B4">
      <w:pPr>
        <w:pStyle w:val="Heading1"/>
      </w:pPr>
      <w:r w:rsidRPr="00121C7E">
        <w:t>Relevant information from outside CEPT (</w:t>
      </w:r>
      <w:r w:rsidR="0017055A" w:rsidRPr="00121C7E">
        <w:rPr>
          <w:caps w:val="0"/>
        </w:rPr>
        <w:t>examples of these are below</w:t>
      </w:r>
      <w:r w:rsidRPr="00121C7E">
        <w:t>)</w:t>
      </w:r>
    </w:p>
    <w:p w:rsidR="009744B4" w:rsidRPr="00121C7E" w:rsidRDefault="009744B4" w:rsidP="009744B4">
      <w:pPr>
        <w:pStyle w:val="Heading2"/>
        <w:rPr>
          <w:lang w:val="en-GB"/>
        </w:rPr>
      </w:pPr>
      <w:r w:rsidRPr="00121C7E">
        <w:rPr>
          <w:lang w:val="en-GB"/>
        </w:rPr>
        <w:t>European Union (</w:t>
      </w:r>
      <w:r w:rsidR="0017055A" w:rsidRPr="00121C7E">
        <w:rPr>
          <w:caps w:val="0"/>
          <w:lang w:val="en-GB"/>
        </w:rPr>
        <w:t>date of proposal</w:t>
      </w:r>
      <w:r w:rsidRPr="00121C7E">
        <w:rPr>
          <w:lang w:val="en-GB"/>
        </w:rPr>
        <w:t>)</w:t>
      </w:r>
    </w:p>
    <w:p w:rsidR="0017055A" w:rsidRPr="00121C7E" w:rsidRDefault="0017055A" w:rsidP="0017055A">
      <w:pPr>
        <w:pStyle w:val="ECCParagraph"/>
      </w:pPr>
    </w:p>
    <w:p w:rsidR="009744B4" w:rsidRPr="00121C7E" w:rsidRDefault="009744B4" w:rsidP="009744B4">
      <w:pPr>
        <w:pStyle w:val="Heading2"/>
        <w:rPr>
          <w:lang w:val="en-GB"/>
        </w:rPr>
      </w:pPr>
      <w:r w:rsidRPr="00121C7E">
        <w:rPr>
          <w:lang w:val="en-GB"/>
        </w:rPr>
        <w:t xml:space="preserve">Regional telecommunication organisations: </w:t>
      </w:r>
    </w:p>
    <w:p w:rsidR="009744B4" w:rsidRPr="00121C7E" w:rsidRDefault="009744B4" w:rsidP="009744B4">
      <w:pPr>
        <w:pStyle w:val="ECCParagraph"/>
      </w:pPr>
    </w:p>
    <w:p w:rsidR="009744B4" w:rsidRPr="00121C7E" w:rsidRDefault="009744B4" w:rsidP="009744B4">
      <w:pPr>
        <w:pStyle w:val="ECCParagraph"/>
      </w:pPr>
      <w:r w:rsidRPr="00121C7E">
        <w:t>APT (date of proposal)</w:t>
      </w:r>
    </w:p>
    <w:p w:rsidR="009744B4" w:rsidRPr="00121C7E" w:rsidRDefault="009744B4" w:rsidP="009744B4">
      <w:pPr>
        <w:pStyle w:val="ECCParagraph"/>
      </w:pPr>
    </w:p>
    <w:p w:rsidR="009744B4" w:rsidRPr="00121C7E" w:rsidRDefault="009744B4" w:rsidP="009744B4">
      <w:pPr>
        <w:pStyle w:val="ECCParagraph"/>
      </w:pPr>
      <w:r w:rsidRPr="00121C7E">
        <w:t>ATU (date of proposal)</w:t>
      </w:r>
    </w:p>
    <w:p w:rsidR="009744B4" w:rsidRPr="00121C7E" w:rsidRDefault="009744B4" w:rsidP="009744B4">
      <w:pPr>
        <w:pStyle w:val="ECCParagraph"/>
      </w:pPr>
    </w:p>
    <w:p w:rsidR="009744B4" w:rsidRPr="00121C7E" w:rsidRDefault="009744B4" w:rsidP="009744B4">
      <w:pPr>
        <w:pStyle w:val="ECCParagraph"/>
      </w:pPr>
      <w:r w:rsidRPr="00121C7E">
        <w:t>Arab Group (date of proposal)</w:t>
      </w:r>
    </w:p>
    <w:p w:rsidR="009744B4" w:rsidRPr="00121C7E" w:rsidRDefault="009744B4" w:rsidP="009744B4">
      <w:pPr>
        <w:pStyle w:val="ECCParagraph"/>
      </w:pPr>
    </w:p>
    <w:p w:rsidR="009744B4" w:rsidRPr="00121C7E" w:rsidRDefault="00514563" w:rsidP="009744B4">
      <w:pPr>
        <w:pStyle w:val="ECCParagraph"/>
      </w:pPr>
      <w:r>
        <w:t>CITEL (</w:t>
      </w:r>
      <w:r w:rsidRPr="00514563">
        <w:t>22 – 26 October 2012</w:t>
      </w:r>
      <w:r w:rsidR="009744B4" w:rsidRPr="00121C7E">
        <w:t>)</w:t>
      </w:r>
    </w:p>
    <w:p w:rsidR="00514563" w:rsidRPr="00514563" w:rsidRDefault="00514563" w:rsidP="00514563">
      <w:pPr>
        <w:pStyle w:val="ECCParagraph"/>
        <w:rPr>
          <w:lang w:val="en-CA"/>
        </w:rPr>
      </w:pPr>
      <w:r w:rsidRPr="00514563">
        <w:rPr>
          <w:lang w:val="en-CA"/>
        </w:rPr>
        <w:t>Preliminary views:</w:t>
      </w:r>
    </w:p>
    <w:p w:rsidR="009744B4" w:rsidRDefault="00514563" w:rsidP="00514563">
      <w:pPr>
        <w:pStyle w:val="ECCParagraph"/>
        <w:rPr>
          <w:lang w:val="en-CA"/>
        </w:rPr>
      </w:pPr>
      <w:r w:rsidRPr="00514563">
        <w:rPr>
          <w:lang w:val="en-CA"/>
        </w:rPr>
        <w:t>CANADA: Studies to determine spectrum requirements and possible technology improvement must be carried out to ascertain any additional spectrum requirements.</w:t>
      </w:r>
    </w:p>
    <w:p w:rsidR="00514563" w:rsidRPr="00514563" w:rsidRDefault="00514563" w:rsidP="00514563">
      <w:pPr>
        <w:pStyle w:val="ECCParagraph"/>
        <w:rPr>
          <w:lang w:val="en-CA"/>
        </w:rPr>
      </w:pPr>
    </w:p>
    <w:p w:rsidR="009744B4" w:rsidRPr="00121C7E" w:rsidRDefault="009744B4" w:rsidP="009744B4">
      <w:pPr>
        <w:pStyle w:val="ECCParagraph"/>
      </w:pPr>
      <w:r w:rsidRPr="00121C7E">
        <w:t>RCC (date of proposal)</w:t>
      </w:r>
    </w:p>
    <w:p w:rsidR="00F735BC" w:rsidRPr="00121C7E" w:rsidRDefault="00F735BC" w:rsidP="00F735BC">
      <w:pPr>
        <w:pStyle w:val="Heading2"/>
        <w:rPr>
          <w:lang w:val="en-GB"/>
        </w:rPr>
      </w:pPr>
      <w:r w:rsidRPr="00121C7E">
        <w:rPr>
          <w:lang w:val="en-GB"/>
        </w:rPr>
        <w:lastRenderedPageBreak/>
        <w:t>International organisations</w:t>
      </w:r>
    </w:p>
    <w:p w:rsidR="00F735BC" w:rsidRPr="00121C7E" w:rsidRDefault="00F735BC" w:rsidP="00F735BC">
      <w:pPr>
        <w:pStyle w:val="ECCParagraph"/>
      </w:pPr>
    </w:p>
    <w:p w:rsidR="00F735BC" w:rsidRPr="00121C7E" w:rsidRDefault="00F735BC" w:rsidP="00F735BC">
      <w:pPr>
        <w:pStyle w:val="ECCParagraph"/>
      </w:pPr>
      <w:r w:rsidRPr="00121C7E">
        <w:t>IATA (date of proposal)</w:t>
      </w:r>
    </w:p>
    <w:p w:rsidR="00F735BC" w:rsidRPr="00121C7E" w:rsidRDefault="00F735BC" w:rsidP="00F735BC">
      <w:pPr>
        <w:pStyle w:val="ECCParagraph"/>
      </w:pPr>
    </w:p>
    <w:p w:rsidR="00F735BC" w:rsidRDefault="00514563" w:rsidP="00F735BC">
      <w:pPr>
        <w:pStyle w:val="ECCParagraph"/>
      </w:pPr>
      <w:r>
        <w:t>ICAO (</w:t>
      </w:r>
      <w:r w:rsidRPr="008263BF">
        <w:rPr>
          <w:lang w:val="en-US"/>
        </w:rPr>
        <w:t>28 November 2012</w:t>
      </w:r>
      <w:r w:rsidR="00F735BC" w:rsidRPr="00121C7E">
        <w:t>)</w:t>
      </w:r>
    </w:p>
    <w:p w:rsidR="00514563" w:rsidRPr="008263BF" w:rsidRDefault="00514563" w:rsidP="00514563">
      <w:pPr>
        <w:pStyle w:val="ECCParagraph"/>
        <w:rPr>
          <w:lang w:val="en-US"/>
        </w:rPr>
      </w:pPr>
      <w:r w:rsidRPr="008263BF">
        <w:rPr>
          <w:lang w:val="en-US"/>
        </w:rPr>
        <w:t>Preliminary Position</w:t>
      </w:r>
    </w:p>
    <w:p w:rsidR="00514563" w:rsidRPr="002C4FA9" w:rsidRDefault="00514563" w:rsidP="00514563">
      <w:pPr>
        <w:pStyle w:val="Default"/>
        <w:rPr>
          <w:rFonts w:ascii="Arial" w:hAnsi="Arial" w:cs="Arial"/>
          <w:sz w:val="20"/>
          <w:szCs w:val="20"/>
          <w:lang w:val="en-US"/>
        </w:rPr>
      </w:pPr>
      <w:r w:rsidRPr="002C4FA9">
        <w:rPr>
          <w:rFonts w:ascii="Arial" w:hAnsi="Arial" w:cs="Arial"/>
          <w:iCs/>
          <w:sz w:val="20"/>
          <w:szCs w:val="20"/>
          <w:lang w:val="en-US"/>
        </w:rPr>
        <w:t xml:space="preserve">No impact on aeronautical services has been identified from WRC-15 Agenda Items </w:t>
      </w:r>
      <w:r w:rsidRPr="00641F9B">
        <w:rPr>
          <w:rFonts w:ascii="Arial" w:hAnsi="Arial" w:cs="Arial"/>
          <w:bCs/>
          <w:iCs/>
          <w:sz w:val="20"/>
          <w:szCs w:val="20"/>
          <w:lang w:val="en-US"/>
        </w:rPr>
        <w:t>1.15</w:t>
      </w:r>
    </w:p>
    <w:p w:rsidR="00F735BC" w:rsidRPr="00121C7E" w:rsidRDefault="00F735BC" w:rsidP="00F735BC">
      <w:pPr>
        <w:pStyle w:val="ECCParagraph"/>
      </w:pPr>
    </w:p>
    <w:p w:rsidR="00F735BC" w:rsidRPr="00121C7E" w:rsidRDefault="00514563" w:rsidP="00F735BC">
      <w:pPr>
        <w:pStyle w:val="ECCParagraph"/>
      </w:pPr>
      <w:r>
        <w:t>IMO (</w:t>
      </w:r>
      <w:r w:rsidRPr="00514563">
        <w:t>8-12 October, 2012</w:t>
      </w:r>
      <w:r w:rsidR="00F735BC" w:rsidRPr="00121C7E">
        <w:t>)</w:t>
      </w:r>
    </w:p>
    <w:p w:rsidR="00514563" w:rsidRPr="00514563" w:rsidRDefault="00514563" w:rsidP="00514563">
      <w:pPr>
        <w:pStyle w:val="ECCParagraph"/>
        <w:rPr>
          <w:lang w:val="en-US"/>
        </w:rPr>
      </w:pPr>
      <w:r w:rsidRPr="00514563">
        <w:rPr>
          <w:lang w:val="en-US"/>
        </w:rPr>
        <w:t>Preliminary Position</w:t>
      </w:r>
    </w:p>
    <w:p w:rsidR="00F735BC" w:rsidRPr="00514563" w:rsidRDefault="00514563" w:rsidP="00514563">
      <w:pPr>
        <w:pStyle w:val="ECCParagraph"/>
        <w:rPr>
          <w:lang w:val="en-US"/>
        </w:rPr>
      </w:pPr>
      <w:r w:rsidRPr="00514563">
        <w:rPr>
          <w:lang w:val="en-US"/>
        </w:rPr>
        <w:t>IMO supports the upgrade of the regulatory status of these frequencies to the exclusive use by the maritime mobile service.</w:t>
      </w:r>
    </w:p>
    <w:p w:rsidR="00514563" w:rsidRDefault="00514563" w:rsidP="00F735BC">
      <w:pPr>
        <w:pStyle w:val="ECCParagraph"/>
      </w:pPr>
    </w:p>
    <w:p w:rsidR="00F735BC" w:rsidRPr="00121C7E" w:rsidRDefault="00F735BC" w:rsidP="00F735BC">
      <w:pPr>
        <w:pStyle w:val="ECCParagraph"/>
      </w:pPr>
      <w:r w:rsidRPr="00121C7E">
        <w:t>NATO (date of proposal)</w:t>
      </w:r>
    </w:p>
    <w:p w:rsidR="00F735BC" w:rsidRPr="00121C7E" w:rsidRDefault="00F735BC" w:rsidP="00F735BC">
      <w:pPr>
        <w:pStyle w:val="ECCParagraph"/>
      </w:pPr>
    </w:p>
    <w:p w:rsidR="00F735BC" w:rsidRPr="00121C7E" w:rsidRDefault="00F735BC" w:rsidP="00F735BC">
      <w:pPr>
        <w:pStyle w:val="ECCParagraph"/>
      </w:pPr>
      <w:r w:rsidRPr="00121C7E">
        <w:t>SFCG (date of proposal)</w:t>
      </w:r>
    </w:p>
    <w:p w:rsidR="00F735BC" w:rsidRPr="00121C7E" w:rsidRDefault="00F735BC" w:rsidP="00F735BC">
      <w:pPr>
        <w:pStyle w:val="ECCParagraph"/>
      </w:pPr>
    </w:p>
    <w:p w:rsidR="00F735BC" w:rsidRPr="00121C7E" w:rsidRDefault="00F735BC" w:rsidP="00F735BC">
      <w:pPr>
        <w:pStyle w:val="ECCParagraph"/>
      </w:pPr>
      <w:r w:rsidRPr="00121C7E">
        <w:t>WMO and EUMETNET (date of proposal)</w:t>
      </w:r>
    </w:p>
    <w:p w:rsidR="009744B4" w:rsidRPr="00121C7E" w:rsidRDefault="009744B4" w:rsidP="009744B4">
      <w:pPr>
        <w:pStyle w:val="ECCParagraph"/>
      </w:pPr>
    </w:p>
    <w:p w:rsidR="00F735BC" w:rsidRPr="00121C7E" w:rsidRDefault="00F735BC" w:rsidP="00F735BC">
      <w:pPr>
        <w:pStyle w:val="Heading2"/>
        <w:rPr>
          <w:lang w:val="en-GB"/>
        </w:rPr>
      </w:pPr>
      <w:r w:rsidRPr="00121C7E">
        <w:rPr>
          <w:lang w:val="en-GB"/>
        </w:rPr>
        <w:t>Regional organisations</w:t>
      </w:r>
    </w:p>
    <w:p w:rsidR="00F735BC" w:rsidRPr="00121C7E" w:rsidRDefault="00F735BC" w:rsidP="00F735BC">
      <w:pPr>
        <w:pStyle w:val="ECCParagraph"/>
      </w:pPr>
    </w:p>
    <w:p w:rsidR="00F735BC" w:rsidRPr="00121C7E" w:rsidRDefault="00F735BC" w:rsidP="00F735BC">
      <w:pPr>
        <w:pStyle w:val="ECCParagraph"/>
      </w:pPr>
      <w:r w:rsidRPr="00121C7E">
        <w:t>ESA (date of proposal)</w:t>
      </w:r>
    </w:p>
    <w:p w:rsidR="00F735BC" w:rsidRPr="00121C7E" w:rsidRDefault="00F735BC" w:rsidP="00F735BC">
      <w:pPr>
        <w:pStyle w:val="ECCParagraph"/>
      </w:pPr>
    </w:p>
    <w:p w:rsidR="00F735BC" w:rsidRPr="00121C7E" w:rsidRDefault="00F735BC" w:rsidP="00F735BC">
      <w:pPr>
        <w:pStyle w:val="ECCParagraph"/>
      </w:pPr>
      <w:proofErr w:type="spellStart"/>
      <w:r w:rsidRPr="00121C7E">
        <w:t>Eurocontrol</w:t>
      </w:r>
      <w:proofErr w:type="spellEnd"/>
      <w:r w:rsidRPr="00121C7E">
        <w:t xml:space="preserve"> (date of proposal)</w:t>
      </w:r>
    </w:p>
    <w:p w:rsidR="009744B4" w:rsidRPr="00121C7E" w:rsidRDefault="009744B4" w:rsidP="00005CA4">
      <w:pPr>
        <w:pStyle w:val="ECCParagraph"/>
      </w:pPr>
    </w:p>
    <w:sectPr w:rsidR="009744B4" w:rsidRPr="00121C7E" w:rsidSect="00C1412E">
      <w:headerReference w:type="even" r:id="rId9"/>
      <w:headerReference w:type="default" r:id="rId10"/>
      <w:footerReference w:type="even" r:id="rId11"/>
      <w:footerReference w:type="default" r:id="rId12"/>
      <w:headerReference w:type="first" r:id="rId13"/>
      <w:footerReference w:type="first" r:id="rId14"/>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5611" w:rsidRDefault="00DC5611" w:rsidP="008A54FC">
      <w:r>
        <w:separator/>
      </w:r>
    </w:p>
  </w:endnote>
  <w:endnote w:type="continuationSeparator" w:id="0">
    <w:p w:rsidR="00DC5611" w:rsidRDefault="00DC5611" w:rsidP="008A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59"/>
    <w:family w:val="auto"/>
    <w:pitch w:val="variable"/>
    <w:sig w:usb0="00000201" w:usb1="00000000" w:usb2="00000000" w:usb3="00000000" w:csb0="00000004" w:csb1="00000000"/>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70BE" w:rsidRDefault="00E370B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70BE" w:rsidRDefault="00E370B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70BE" w:rsidRDefault="00E370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5611" w:rsidRDefault="00DC5611" w:rsidP="008A54FC">
      <w:r>
        <w:separator/>
      </w:r>
    </w:p>
  </w:footnote>
  <w:footnote w:type="continuationSeparator" w:id="0">
    <w:p w:rsidR="00DC5611" w:rsidRDefault="00DC5611" w:rsidP="008A5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Pr="005F4F01" w:rsidRDefault="00205C5E">
    <w:pPr>
      <w:pStyle w:val="Header"/>
      <w:rPr>
        <w:szCs w:val="16"/>
        <w:lang w:val="en-GB"/>
      </w:rPr>
    </w:pPr>
    <w:r>
      <w:rPr>
        <w:lang w:val="en-GB"/>
      </w:rPr>
      <w:t>Draft CEPT Brief on AI 1.15</w:t>
    </w:r>
    <w:r w:rsidR="00803F98" w:rsidRPr="005F4F01">
      <w:rPr>
        <w:lang w:val="en-GB"/>
      </w:rPr>
      <w:t xml:space="preserve"> </w:t>
    </w:r>
    <w:r w:rsidR="00803F98" w:rsidRPr="005F4F01">
      <w:rPr>
        <w:szCs w:val="16"/>
        <w:lang w:val="en-GB"/>
      </w:rPr>
      <w:t xml:space="preserve">Page </w:t>
    </w:r>
    <w:r w:rsidR="00803F98">
      <w:fldChar w:fldCharType="begin"/>
    </w:r>
    <w:r w:rsidR="00803F98">
      <w:instrText xml:space="preserve"> PAGE  \* Arabic  \* MERGEFORMAT </w:instrText>
    </w:r>
    <w:r w:rsidR="00803F98">
      <w:fldChar w:fldCharType="separate"/>
    </w:r>
    <w:r w:rsidR="00B71E1F" w:rsidRPr="00B71E1F">
      <w:rPr>
        <w:noProof/>
        <w:szCs w:val="16"/>
        <w:lang w:val="en-GB"/>
      </w:rPr>
      <w:t>2</w:t>
    </w:r>
    <w:r w:rsidR="00803F98">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Pr="005F4F01" w:rsidRDefault="00E370BE" w:rsidP="008A54FC">
    <w:pPr>
      <w:pStyle w:val="Header"/>
      <w:jc w:val="right"/>
      <w:rPr>
        <w:szCs w:val="16"/>
        <w:lang w:val="en-GB"/>
      </w:rPr>
    </w:pPr>
    <w:r>
      <w:rPr>
        <w:lang w:val="en-GB"/>
      </w:rPr>
      <w:t xml:space="preserve">CPG(13)010 Annex </w:t>
    </w:r>
    <w:r w:rsidR="00B71E1F">
      <w:rPr>
        <w:lang w:val="en-GB"/>
      </w:rPr>
      <w:t>15</w: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Pr="001223D0" w:rsidRDefault="00803F98" w:rsidP="008A54FC">
    <w:pPr>
      <w:pStyle w:val="Header"/>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1">
    <w:nsid w:val="20A87A02"/>
    <w:multiLevelType w:val="hybridMultilevel"/>
    <w:tmpl w:val="3962F2D4"/>
    <w:lvl w:ilvl="0" w:tplc="6E3A243C">
      <w:start w:val="1"/>
      <w:numFmt w:val="bullet"/>
      <w:pStyle w:val="ECCParBulleted"/>
      <w:lvlText w:val=""/>
      <w:lvlJc w:val="left"/>
      <w:pPr>
        <w:tabs>
          <w:tab w:val="num" w:pos="680"/>
        </w:tabs>
        <w:ind w:left="680" w:hanging="340"/>
      </w:pPr>
      <w:rPr>
        <w:rFonts w:ascii="Wingdings" w:hAnsi="Wingdings" w:hint="default"/>
        <w:color w:val="D2232A"/>
      </w:rPr>
    </w:lvl>
    <w:lvl w:ilvl="1" w:tplc="04090003">
      <w:start w:val="1"/>
      <w:numFmt w:val="bullet"/>
      <w:lvlText w:val="o"/>
      <w:lvlJc w:val="left"/>
      <w:pPr>
        <w:tabs>
          <w:tab w:val="num" w:pos="759"/>
        </w:tabs>
        <w:ind w:left="759" w:hanging="360"/>
      </w:pPr>
      <w:rPr>
        <w:rFonts w:ascii="Courier New" w:hAnsi="Courier New" w:cs="Arial Bold" w:hint="default"/>
      </w:rPr>
    </w:lvl>
    <w:lvl w:ilvl="2" w:tplc="04090005">
      <w:start w:val="1"/>
      <w:numFmt w:val="bullet"/>
      <w:lvlText w:val=""/>
      <w:lvlJc w:val="left"/>
      <w:pPr>
        <w:tabs>
          <w:tab w:val="num" w:pos="1479"/>
        </w:tabs>
        <w:ind w:left="1479" w:hanging="360"/>
      </w:pPr>
      <w:rPr>
        <w:rFonts w:ascii="Wingdings" w:hAnsi="Wingdings" w:hint="default"/>
      </w:rPr>
    </w:lvl>
    <w:lvl w:ilvl="3" w:tplc="04090001">
      <w:start w:val="1"/>
      <w:numFmt w:val="bullet"/>
      <w:lvlText w:val=""/>
      <w:lvlJc w:val="left"/>
      <w:pPr>
        <w:tabs>
          <w:tab w:val="num" w:pos="2199"/>
        </w:tabs>
        <w:ind w:left="2199" w:hanging="360"/>
      </w:pPr>
      <w:rPr>
        <w:rFonts w:ascii="Symbol" w:hAnsi="Symbol" w:hint="default"/>
      </w:rPr>
    </w:lvl>
    <w:lvl w:ilvl="4" w:tplc="04090003">
      <w:start w:val="1"/>
      <w:numFmt w:val="bullet"/>
      <w:lvlText w:val="o"/>
      <w:lvlJc w:val="left"/>
      <w:pPr>
        <w:tabs>
          <w:tab w:val="num" w:pos="2919"/>
        </w:tabs>
        <w:ind w:left="2919" w:hanging="360"/>
      </w:pPr>
      <w:rPr>
        <w:rFonts w:ascii="Courier New" w:hAnsi="Courier New" w:cs="Arial Bold" w:hint="default"/>
      </w:rPr>
    </w:lvl>
    <w:lvl w:ilvl="5" w:tplc="04090005">
      <w:start w:val="1"/>
      <w:numFmt w:val="bullet"/>
      <w:lvlText w:val=""/>
      <w:lvlJc w:val="left"/>
      <w:pPr>
        <w:tabs>
          <w:tab w:val="num" w:pos="3639"/>
        </w:tabs>
        <w:ind w:left="3639" w:hanging="360"/>
      </w:pPr>
      <w:rPr>
        <w:rFonts w:ascii="Wingdings" w:hAnsi="Wingdings" w:hint="default"/>
      </w:rPr>
    </w:lvl>
    <w:lvl w:ilvl="6" w:tplc="04090001">
      <w:start w:val="1"/>
      <w:numFmt w:val="bullet"/>
      <w:lvlText w:val=""/>
      <w:lvlJc w:val="left"/>
      <w:pPr>
        <w:tabs>
          <w:tab w:val="num" w:pos="4359"/>
        </w:tabs>
        <w:ind w:left="4359" w:hanging="360"/>
      </w:pPr>
      <w:rPr>
        <w:rFonts w:ascii="Symbol" w:hAnsi="Symbol" w:hint="default"/>
      </w:rPr>
    </w:lvl>
    <w:lvl w:ilvl="7" w:tplc="04090003">
      <w:start w:val="1"/>
      <w:numFmt w:val="bullet"/>
      <w:lvlText w:val="o"/>
      <w:lvlJc w:val="left"/>
      <w:pPr>
        <w:tabs>
          <w:tab w:val="num" w:pos="5079"/>
        </w:tabs>
        <w:ind w:left="5079" w:hanging="360"/>
      </w:pPr>
      <w:rPr>
        <w:rFonts w:ascii="Courier New" w:hAnsi="Courier New" w:cs="Arial Bold" w:hint="default"/>
      </w:rPr>
    </w:lvl>
    <w:lvl w:ilvl="8" w:tplc="04090005" w:tentative="1">
      <w:start w:val="1"/>
      <w:numFmt w:val="bullet"/>
      <w:lvlText w:val=""/>
      <w:lvlJc w:val="left"/>
      <w:pPr>
        <w:tabs>
          <w:tab w:val="num" w:pos="5799"/>
        </w:tabs>
        <w:ind w:left="5799" w:hanging="360"/>
      </w:pPr>
      <w:rPr>
        <w:rFonts w:ascii="Wingdings" w:hAnsi="Wingdings" w:hint="default"/>
      </w:rPr>
    </w:lvl>
  </w:abstractNum>
  <w:abstractNum w:abstractNumId="2">
    <w:nsid w:val="212F4188"/>
    <w:multiLevelType w:val="multilevel"/>
    <w:tmpl w:val="169232E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3B57373D"/>
    <w:multiLevelType w:val="multilevel"/>
    <w:tmpl w:val="2034D866"/>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4">
    <w:nsid w:val="3D163F7A"/>
    <w:multiLevelType w:val="multilevel"/>
    <w:tmpl w:val="029C60C0"/>
    <w:lvl w:ilvl="0">
      <w:start w:val="1"/>
      <w:numFmt w:val="decimal"/>
      <w:pStyle w:val="Heading1"/>
      <w:lvlText w:val="%1."/>
      <w:lvlJc w:val="left"/>
      <w:pPr>
        <w:ind w:left="360" w:hanging="360"/>
      </w:pPr>
      <w:rPr>
        <w:rFonts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Arial" w:hAnsi="Arial"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427E184A"/>
    <w:multiLevelType w:val="hybridMultilevel"/>
    <w:tmpl w:val="F51A9A3A"/>
    <w:lvl w:ilvl="0" w:tplc="C65085F2">
      <w:start w:val="1"/>
      <w:numFmt w:val="bullet"/>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6">
    <w:nsid w:val="45A50F9E"/>
    <w:multiLevelType w:val="multilevel"/>
    <w:tmpl w:val="91FCFD4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7">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8262D09"/>
    <w:multiLevelType w:val="multilevel"/>
    <w:tmpl w:val="91FCFD4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9">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4E264B24"/>
    <w:multiLevelType w:val="multilevel"/>
    <w:tmpl w:val="8DB4B360"/>
    <w:styleLink w:val="ECCNumbers-Letters"/>
    <w:lvl w:ilvl="0">
      <w:start w:val="1"/>
      <w:numFmt w:val="decimal"/>
      <w:pStyle w:val="ECCNumbered-LetteredList"/>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1">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2">
    <w:nsid w:val="5C9214DC"/>
    <w:multiLevelType w:val="multilevel"/>
    <w:tmpl w:val="0AD4A2D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3">
    <w:nsid w:val="5D1D6380"/>
    <w:multiLevelType w:val="multilevel"/>
    <w:tmpl w:val="8DB4B360"/>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4">
    <w:nsid w:val="66E36C84"/>
    <w:multiLevelType w:val="multilevel"/>
    <w:tmpl w:val="FCEC7FBC"/>
    <w:numStyleLink w:val="ECCBullets"/>
  </w:abstractNum>
  <w:abstractNum w:abstractNumId="15">
    <w:nsid w:val="707767BF"/>
    <w:multiLevelType w:val="multilevel"/>
    <w:tmpl w:val="7060B39E"/>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nsid w:val="71EC350B"/>
    <w:multiLevelType w:val="multilevel"/>
    <w:tmpl w:val="CB1A2F26"/>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sz w:val="20"/>
      </w:rPr>
    </w:lvl>
    <w:lvl w:ilvl="2">
      <w:start w:val="1"/>
      <w:numFmt w:val="decimal"/>
      <w:lvlText w:val="%1.%2.%3"/>
      <w:lvlJc w:val="left"/>
      <w:pPr>
        <w:tabs>
          <w:tab w:val="num" w:pos="720"/>
        </w:tabs>
        <w:ind w:left="720" w:hanging="720"/>
      </w:pPr>
      <w:rPr>
        <w:rFonts w:ascii="Arial" w:hAnsi="Arial" w:hint="default"/>
        <w:b/>
        <w:i w:val="0"/>
        <w:caps w:val="0"/>
        <w:sz w:val="20"/>
        <w:szCs w:val="20"/>
      </w:rPr>
    </w:lvl>
    <w:lvl w:ilvl="3">
      <w:start w:val="1"/>
      <w:numFmt w:val="decimal"/>
      <w:lvlText w:val="%1.%2.%3.%4"/>
      <w:lvlJc w:val="left"/>
      <w:pPr>
        <w:tabs>
          <w:tab w:val="num" w:pos="864"/>
        </w:tabs>
        <w:ind w:left="864" w:hanging="864"/>
      </w:pPr>
      <w:rPr>
        <w:rFonts w:ascii="Arial" w:hAnsi="Arial"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4"/>
  </w:num>
  <w:num w:numId="3">
    <w:abstractNumId w:val="17"/>
  </w:num>
  <w:num w:numId="4">
    <w:abstractNumId w:val="9"/>
  </w:num>
  <w:num w:numId="5">
    <w:abstractNumId w:val="2"/>
  </w:num>
  <w:num w:numId="6">
    <w:abstractNumId w:val="7"/>
  </w:num>
  <w:num w:numId="7">
    <w:abstractNumId w:val="7"/>
    <w:lvlOverride w:ilvl="0">
      <w:startOverride w:val="1"/>
    </w:lvlOverride>
  </w:num>
  <w:num w:numId="8">
    <w:abstractNumId w:val="0"/>
  </w:num>
  <w:num w:numId="9">
    <w:abstractNumId w:val="14"/>
  </w:num>
  <w:num w:numId="10">
    <w:abstractNumId w:val="12"/>
  </w:num>
  <w:num w:numId="11">
    <w:abstractNumId w:val="8"/>
  </w:num>
  <w:num w:numId="12">
    <w:abstractNumId w:val="3"/>
  </w:num>
  <w:num w:numId="13">
    <w:abstractNumId w:val="13"/>
  </w:num>
  <w:num w:numId="14">
    <w:abstractNumId w:val="1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5"/>
  </w:num>
  <w:num w:numId="20">
    <w:abstractNumId w:val="15"/>
  </w:num>
  <w:num w:numId="21">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attachedTemplate r:id="rId1"/>
  <w:defaultTabStop w:val="720"/>
  <w:hyphenationZone w:val="425"/>
  <w:evenAndOddHeaders/>
  <w:characterSpacingControl w:val="doNotCompress"/>
  <w:hdrShapeDefaults>
    <o:shapedefaults v:ext="edit" spidmax="2049">
      <o:colormru v:ext="edit" colors="#7b6c58,#887e6e,#b0a69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6279"/>
    <w:rsid w:val="00005CA4"/>
    <w:rsid w:val="00067793"/>
    <w:rsid w:val="00082DD7"/>
    <w:rsid w:val="00087274"/>
    <w:rsid w:val="000C028F"/>
    <w:rsid w:val="000E42F5"/>
    <w:rsid w:val="00121C7E"/>
    <w:rsid w:val="0017055A"/>
    <w:rsid w:val="00183FE0"/>
    <w:rsid w:val="00205C5E"/>
    <w:rsid w:val="00274F84"/>
    <w:rsid w:val="002930E9"/>
    <w:rsid w:val="0029448B"/>
    <w:rsid w:val="002A1BA5"/>
    <w:rsid w:val="002F5286"/>
    <w:rsid w:val="00394C0D"/>
    <w:rsid w:val="003D4741"/>
    <w:rsid w:val="00402BB3"/>
    <w:rsid w:val="004110CA"/>
    <w:rsid w:val="004B1D2B"/>
    <w:rsid w:val="00514563"/>
    <w:rsid w:val="00550D79"/>
    <w:rsid w:val="00557B5A"/>
    <w:rsid w:val="00594186"/>
    <w:rsid w:val="005C10EB"/>
    <w:rsid w:val="005E6279"/>
    <w:rsid w:val="005F4F01"/>
    <w:rsid w:val="006A047B"/>
    <w:rsid w:val="006C444E"/>
    <w:rsid w:val="006F1E91"/>
    <w:rsid w:val="007014FB"/>
    <w:rsid w:val="00734A4F"/>
    <w:rsid w:val="00763BA3"/>
    <w:rsid w:val="00767BB2"/>
    <w:rsid w:val="00780376"/>
    <w:rsid w:val="00797D4C"/>
    <w:rsid w:val="007D2C2E"/>
    <w:rsid w:val="007F1C2D"/>
    <w:rsid w:val="00803F98"/>
    <w:rsid w:val="00812638"/>
    <w:rsid w:val="00863669"/>
    <w:rsid w:val="00864917"/>
    <w:rsid w:val="008A54FC"/>
    <w:rsid w:val="008B70CD"/>
    <w:rsid w:val="008D450A"/>
    <w:rsid w:val="008F6CDE"/>
    <w:rsid w:val="00941FD2"/>
    <w:rsid w:val="009744B4"/>
    <w:rsid w:val="00996C11"/>
    <w:rsid w:val="009A6EC8"/>
    <w:rsid w:val="009E47EB"/>
    <w:rsid w:val="00A02BA8"/>
    <w:rsid w:val="00A076B5"/>
    <w:rsid w:val="00A21D35"/>
    <w:rsid w:val="00A5175F"/>
    <w:rsid w:val="00A95ACB"/>
    <w:rsid w:val="00AA086A"/>
    <w:rsid w:val="00AB436E"/>
    <w:rsid w:val="00AB52DA"/>
    <w:rsid w:val="00AB7E9F"/>
    <w:rsid w:val="00AD131E"/>
    <w:rsid w:val="00AF31D9"/>
    <w:rsid w:val="00B107D7"/>
    <w:rsid w:val="00B25463"/>
    <w:rsid w:val="00B30D3B"/>
    <w:rsid w:val="00B432D4"/>
    <w:rsid w:val="00B71E1F"/>
    <w:rsid w:val="00BB6976"/>
    <w:rsid w:val="00C1412E"/>
    <w:rsid w:val="00C612A2"/>
    <w:rsid w:val="00D06D75"/>
    <w:rsid w:val="00DC5611"/>
    <w:rsid w:val="00DD057B"/>
    <w:rsid w:val="00DF2C67"/>
    <w:rsid w:val="00E1123C"/>
    <w:rsid w:val="00E31065"/>
    <w:rsid w:val="00E370BE"/>
    <w:rsid w:val="00E71AE7"/>
    <w:rsid w:val="00EA43D0"/>
    <w:rsid w:val="00EA6088"/>
    <w:rsid w:val="00F735BC"/>
    <w:rsid w:val="00F93115"/>
    <w:rsid w:val="00F96759"/>
    <w:rsid w:val="00FA4175"/>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7b6c58,#887e6e,#b0a69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uiPriority w:val="99"/>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CB0AD7"/>
    <w:pPr>
      <w:numPr>
        <w:numId w:val="1"/>
      </w:numPr>
      <w:spacing w:after="0"/>
    </w:p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semiHidden/>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 w:type="paragraph" w:customStyle="1" w:styleId="Kopfzeile1">
    <w:name w:val="Kopfzeile1"/>
    <w:basedOn w:val="Header"/>
    <w:uiPriority w:val="99"/>
    <w:rsid w:val="00C1412E"/>
    <w:pPr>
      <w:tabs>
        <w:tab w:val="clear" w:pos="4320"/>
        <w:tab w:val="clear" w:pos="8640"/>
        <w:tab w:val="center" w:pos="4536"/>
        <w:tab w:val="right" w:pos="9072"/>
      </w:tabs>
    </w:pPr>
    <w:rPr>
      <w:sz w:val="22"/>
      <w:szCs w:val="20"/>
      <w:lang w:val="nb-NO" w:eastAsia="de-DE"/>
    </w:rPr>
  </w:style>
  <w:style w:type="paragraph" w:customStyle="1" w:styleId="Header1">
    <w:name w:val="Header1"/>
    <w:basedOn w:val="Header"/>
    <w:link w:val="HeaderZchnZchn"/>
    <w:uiPriority w:val="99"/>
    <w:rsid w:val="00C1412E"/>
    <w:pPr>
      <w:tabs>
        <w:tab w:val="clear" w:pos="4320"/>
        <w:tab w:val="clear" w:pos="8640"/>
        <w:tab w:val="center" w:pos="4536"/>
        <w:tab w:val="right" w:pos="9072"/>
      </w:tabs>
      <w:spacing w:before="60"/>
    </w:pPr>
    <w:rPr>
      <w:sz w:val="22"/>
      <w:szCs w:val="20"/>
      <w:lang w:val="nb-NO" w:eastAsia="ja-JP"/>
    </w:rPr>
  </w:style>
  <w:style w:type="character" w:customStyle="1" w:styleId="HeaderZchnZchn">
    <w:name w:val="Header Zchn Zchn"/>
    <w:link w:val="Header1"/>
    <w:uiPriority w:val="99"/>
    <w:locked/>
    <w:rsid w:val="00C1412E"/>
    <w:rPr>
      <w:rFonts w:ascii="Arial" w:hAnsi="Arial"/>
      <w:b/>
      <w:sz w:val="22"/>
      <w:lang w:val="nb-NO" w:eastAsia="ja-JP"/>
    </w:rPr>
  </w:style>
  <w:style w:type="paragraph" w:customStyle="1" w:styleId="Default">
    <w:name w:val="Default"/>
    <w:rsid w:val="00514563"/>
    <w:pPr>
      <w:autoSpaceDE w:val="0"/>
      <w:autoSpaceDN w:val="0"/>
      <w:adjustRightInd w:val="0"/>
    </w:pPr>
    <w:rPr>
      <w:color w:val="000000"/>
      <w:sz w:val="24"/>
      <w:szCs w:val="24"/>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uiPriority w:val="99"/>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4E66F0"/>
    <w:pPr>
      <w:spacing w:after="240"/>
      <w:jc w:val="both"/>
    </w:pPr>
    <w:rPr>
      <w:lang w:val="en-GB"/>
    </w:rPr>
  </w:style>
  <w:style w:type="paragraph" w:customStyle="1" w:styleId="ECCParBulleted">
    <w:name w:val="ECC Par Bulleted"/>
    <w:basedOn w:val="ECCParagraph"/>
    <w:rsid w:val="00CB0AD7"/>
    <w:pPr>
      <w:numPr>
        <w:numId w:val="1"/>
      </w:numPr>
      <w:spacing w:after="0"/>
    </w:p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semiHidden/>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 w:type="paragraph" w:customStyle="1" w:styleId="Kopfzeile1">
    <w:name w:val="Kopfzeile1"/>
    <w:basedOn w:val="Header"/>
    <w:uiPriority w:val="99"/>
    <w:rsid w:val="00C1412E"/>
    <w:pPr>
      <w:tabs>
        <w:tab w:val="clear" w:pos="4320"/>
        <w:tab w:val="clear" w:pos="8640"/>
        <w:tab w:val="center" w:pos="4536"/>
        <w:tab w:val="right" w:pos="9072"/>
      </w:tabs>
    </w:pPr>
    <w:rPr>
      <w:sz w:val="22"/>
      <w:szCs w:val="20"/>
      <w:lang w:val="nb-NO" w:eastAsia="de-DE"/>
    </w:rPr>
  </w:style>
  <w:style w:type="paragraph" w:customStyle="1" w:styleId="Header1">
    <w:name w:val="Header1"/>
    <w:basedOn w:val="Header"/>
    <w:link w:val="HeaderZchnZchn"/>
    <w:uiPriority w:val="99"/>
    <w:rsid w:val="00C1412E"/>
    <w:pPr>
      <w:tabs>
        <w:tab w:val="clear" w:pos="4320"/>
        <w:tab w:val="clear" w:pos="8640"/>
        <w:tab w:val="center" w:pos="4536"/>
        <w:tab w:val="right" w:pos="9072"/>
      </w:tabs>
      <w:spacing w:before="60"/>
    </w:pPr>
    <w:rPr>
      <w:sz w:val="22"/>
      <w:szCs w:val="20"/>
      <w:lang w:val="nb-NO" w:eastAsia="ja-JP"/>
    </w:rPr>
  </w:style>
  <w:style w:type="character" w:customStyle="1" w:styleId="HeaderZchnZchn">
    <w:name w:val="Header Zchn Zchn"/>
    <w:link w:val="Header1"/>
    <w:uiPriority w:val="99"/>
    <w:locked/>
    <w:rsid w:val="00C1412E"/>
    <w:rPr>
      <w:rFonts w:ascii="Arial" w:hAnsi="Arial"/>
      <w:b/>
      <w:sz w:val="22"/>
      <w:lang w:val="nb-NO" w:eastAsia="ja-JP"/>
    </w:rPr>
  </w:style>
  <w:style w:type="paragraph" w:customStyle="1" w:styleId="Default">
    <w:name w:val="Default"/>
    <w:rsid w:val="00514563"/>
    <w:pPr>
      <w:autoSpaceDE w:val="0"/>
      <w:autoSpaceDN w:val="0"/>
      <w:adjustRightInd w:val="0"/>
    </w:pPr>
    <w:rPr>
      <w:color w:val="000000"/>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tella\STELLA\CPG%20PTC\1st%20meeting%20ECO\TEMP%20docs_new\CEPT%20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40D49F-A011-4C76-A34B-4F4E0A97F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CEPT Brief.dotx</Template>
  <TotalTime>2</TotalTime>
  <Pages>3</Pages>
  <Words>601</Words>
  <Characters>3432</Characters>
  <Application>Microsoft Office Word</Application>
  <DocSecurity>0</DocSecurity>
  <Lines>28</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DRAFT CEPT Brief</vt:lpstr>
      <vt:lpstr>DRAFT CEPT Brief</vt:lpstr>
    </vt:vector>
  </TitlesOfParts>
  <Company>ECO</Company>
  <LinksUpToDate>false</LinksUpToDate>
  <CharactersWithSpaces>4025</CharactersWithSpaces>
  <SharedDoc>false</SharedDoc>
  <HLinks>
    <vt:vector size="12" baseType="variant">
      <vt:variant>
        <vt:i4>1703987</vt:i4>
      </vt:variant>
      <vt:variant>
        <vt:i4>-1</vt:i4>
      </vt:variant>
      <vt:variant>
        <vt:i4>2049</vt:i4>
      </vt:variant>
      <vt:variant>
        <vt:i4>1</vt:i4>
      </vt:variant>
      <vt:variant>
        <vt:lpwstr>cept logo</vt:lpwstr>
      </vt:variant>
      <vt:variant>
        <vt:lpwstr/>
      </vt:variant>
      <vt:variant>
        <vt:i4>3932173</vt:i4>
      </vt:variant>
      <vt:variant>
        <vt:i4>-1</vt:i4>
      </vt:variant>
      <vt:variant>
        <vt:i4>2050</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CEPT Brief</dc:title>
  <dc:creator>Stella Lyubchenko</dc:creator>
  <dc:description>This template is used as guidance to draft CEPT Brief</dc:description>
  <cp:lastModifiedBy>wesley.milton</cp:lastModifiedBy>
  <cp:revision>7</cp:revision>
  <cp:lastPrinted>2012-08-23T09:39:00Z</cp:lastPrinted>
  <dcterms:created xsi:type="dcterms:W3CDTF">2013-01-07T12:34:00Z</dcterms:created>
  <dcterms:modified xsi:type="dcterms:W3CDTF">2013-01-24T14:12:00Z</dcterms:modified>
</cp:coreProperties>
</file>